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Default Extension="jpg" ContentType="image/jpeg"/>
  <Default Extension="jpeg" ContentType="image/jpeg"/>
  <Default Extension="png" ContentType="image/pn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bookmarkStart w:id="27" w:name="dutum-construction-company"/>
    <w:p>
      <w:pPr>
        <w:pStyle w:val="Heading2"/>
      </w:pPr>
      <w:r>
        <w:t>Dutum Construction Company</w:t>
      </w:r>
    </w:p>
    <w:bookmarkStart w:id="20" w:name="X17006849e28fe5168ed16e36bac360bd4b88311"/>
    <w:p>
      <w:pPr>
        <w:pStyle w:val="Heading3"/>
      </w:pPr>
      <w:r>
        <w:t>Construction Change Order Management Template</w:t>
      </w:r>
    </w:p>
    <w:p>
      <w:pPr>
        <w:pStyle w:val="FirstParagraph"/>
      </w:pPr>
      <w:r>
        <w:t>This template is designed to help project teams effectively manage change orders, aligned with Nigerian industry standards, QA/QC systems, and regulatory compliance.</w:t>
      </w:r>
    </w:p>
    <w:p>
      <w:r>
        <w:rPr>
          <w:noProof/>
        </w:rPr>
        <w:pict>
          <v:rect style="width:0;height:1.5pt" o:hralign="center" o:hrstd="t" o:hr="t"/>
        </w:pict>
      </w:r>
    </w:p>
    <w:bookmarkEnd w:id="20"/>
    <w:bookmarkStart w:id="21" w:name="project-information"/>
    <w:p>
      <w:pPr>
        <w:pStyle w:val="Heading3"/>
      </w:pPr>
      <w:r>
        <w:t>Project Information</w:t>
      </w:r>
    </w:p>
    <w:p>
      <w:pPr>
        <w:pStyle w:val="Compact"/>
        <w:numPr>
          <w:ilvl w:val="0"/>
          <w:numId w:val="1001"/>
        </w:numPr>
      </w:pPr>
      <w:r>
        <w:t>Project Name:</w:t>
      </w:r>
    </w:p>
    <w:p>
      <w:pPr>
        <w:pStyle w:val="Compact"/>
        <w:numPr>
          <w:ilvl w:val="0"/>
          <w:numId w:val="1001"/>
        </w:numPr>
      </w:pPr>
      <w:r>
        <w:t>Project Location:</w:t>
      </w:r>
    </w:p>
    <w:p>
      <w:pPr>
        <w:pStyle w:val="Compact"/>
        <w:numPr>
          <w:ilvl w:val="0"/>
          <w:numId w:val="1001"/>
        </w:numPr>
      </w:pPr>
      <w:r>
        <w:t>Client:</w:t>
      </w:r>
    </w:p>
    <w:p>
      <w:pPr>
        <w:pStyle w:val="Compact"/>
        <w:numPr>
          <w:ilvl w:val="0"/>
          <w:numId w:val="1001"/>
        </w:numPr>
      </w:pPr>
      <w:r>
        <w:t>Contractor:</w:t>
      </w:r>
    </w:p>
    <w:p>
      <w:pPr>
        <w:pStyle w:val="Compact"/>
        <w:numPr>
          <w:ilvl w:val="0"/>
          <w:numId w:val="1001"/>
        </w:numPr>
      </w:pPr>
      <w:r>
        <w:t>Project Manager:</w:t>
      </w:r>
    </w:p>
    <w:p>
      <w:pPr>
        <w:pStyle w:val="Compact"/>
        <w:numPr>
          <w:ilvl w:val="0"/>
          <w:numId w:val="1001"/>
        </w:numPr>
      </w:pPr>
      <w:r>
        <w:t>Date:</w:t>
      </w:r>
    </w:p>
    <w:p>
      <w:pPr>
        <w:pStyle w:val="Compact"/>
        <w:numPr>
          <w:ilvl w:val="0"/>
          <w:numId w:val="1001"/>
        </w:numPr>
      </w:pPr>
      <w:r>
        <w:t>Change Order Number:</w:t>
      </w:r>
    </w:p>
    <w:p>
      <w:r>
        <w:rPr>
          <w:noProof/>
        </w:rPr>
        <w:pict>
          <v:rect style="width:0;height:1.5pt" o:hralign="center" o:hrstd="t" o:hr="t"/>
        </w:pict>
      </w:r>
    </w:p>
    <w:bookmarkEnd w:id="21"/>
    <w:bookmarkStart w:id="22" w:name="change-order-request-details"/>
    <w:p>
      <w:pPr>
        <w:pStyle w:val="Heading3"/>
      </w:pPr>
      <w:r>
        <w:t>Change Order Request Details</w:t>
      </w:r>
    </w:p>
    <w:p>
      <w:pPr>
        <w:pStyle w:val="Compact"/>
        <w:numPr>
          <w:ilvl w:val="0"/>
          <w:numId w:val="1002"/>
        </w:numPr>
      </w:pPr>
      <w:r>
        <w:t>Description of Change:</w:t>
      </w:r>
    </w:p>
    <w:p>
      <w:pPr>
        <w:pStyle w:val="Compact"/>
        <w:numPr>
          <w:ilvl w:val="0"/>
          <w:numId w:val="1002"/>
        </w:numPr>
      </w:pPr>
      <w:r>
        <w:t>Reason for Change:</w:t>
      </w:r>
    </w:p>
    <w:p>
      <w:pPr>
        <w:pStyle w:val="Compact"/>
        <w:numPr>
          <w:ilvl w:val="0"/>
          <w:numId w:val="1002"/>
        </w:numPr>
      </w:pPr>
      <w:r>
        <w:t>Requested By:</w:t>
      </w:r>
    </w:p>
    <w:p>
      <w:pPr>
        <w:pStyle w:val="Compact"/>
        <w:numPr>
          <w:ilvl w:val="0"/>
          <w:numId w:val="1002"/>
        </w:numPr>
      </w:pPr>
      <w:r>
        <w:t>Date Requested:</w:t>
      </w:r>
    </w:p>
    <w:p>
      <w:pPr>
        <w:pStyle w:val="Compact"/>
        <w:numPr>
          <w:ilvl w:val="0"/>
          <w:numId w:val="1002"/>
        </w:numPr>
      </w:pPr>
      <w:r>
        <w:t>Attach Supporting Drawings / Specifications:</w:t>
      </w:r>
    </w:p>
    <w:p>
      <w:r>
        <w:rPr>
          <w:noProof/>
        </w:rPr>
        <w:pict>
          <v:rect style="width:0;height:1.5pt" o:hralign="center" o:hrstd="t" o:hr="t"/>
        </w:pict>
      </w:r>
    </w:p>
    <w:bookmarkEnd w:id="22"/>
    <w:bookmarkStart w:id="23" w:name="approval-and-assessment"/>
    <w:p>
      <w:pPr>
        <w:pStyle w:val="Heading3"/>
      </w:pPr>
      <w:r>
        <w:t>Approval and Assessment</w:t>
      </w:r>
    </w:p>
    <w:p>
      <w:pPr>
        <w:pStyle w:val="Compact"/>
        <w:numPr>
          <w:ilvl w:val="0"/>
          <w:numId w:val="1003"/>
        </w:numPr>
      </w:pPr>
      <w:r>
        <w:t>Cost Impact Assessment:</w:t>
      </w:r>
    </w:p>
    <w:p>
      <w:pPr>
        <w:pStyle w:val="Compact"/>
        <w:numPr>
          <w:ilvl w:val="0"/>
          <w:numId w:val="1003"/>
        </w:numPr>
      </w:pPr>
      <w:r>
        <w:t>Time Impact Assessment:</w:t>
      </w:r>
    </w:p>
    <w:p>
      <w:pPr>
        <w:pStyle w:val="Compact"/>
        <w:numPr>
          <w:ilvl w:val="0"/>
          <w:numId w:val="1003"/>
        </w:numPr>
      </w:pPr>
      <w:r>
        <w:t>Regulatory Approvals Required (e.g., NURPC, LASBCA):</w:t>
      </w:r>
    </w:p>
    <w:p>
      <w:pPr>
        <w:pStyle w:val="Compact"/>
        <w:numPr>
          <w:ilvl w:val="0"/>
          <w:numId w:val="1003"/>
        </w:numPr>
      </w:pPr>
      <w:r>
        <w:t>QA/QC Review Completed:</w:t>
      </w:r>
    </w:p>
    <w:p>
      <w:pPr>
        <w:pStyle w:val="Compact"/>
        <w:numPr>
          <w:ilvl w:val="0"/>
          <w:numId w:val="1003"/>
        </w:numPr>
      </w:pPr>
      <w:r>
        <w:t>Safety Assessment Completed:</w:t>
      </w:r>
    </w:p>
    <w:p>
      <w:r>
        <w:rPr>
          <w:noProof/>
        </w:rPr>
        <w:pict>
          <v:rect style="width:0;height:1.5pt" o:hralign="center" o:hrstd="t" o:hr="t"/>
        </w:pict>
      </w:r>
    </w:p>
    <w:bookmarkEnd w:id="23"/>
    <w:bookmarkStart w:id="24" w:name="change-order-management-steps"/>
    <w:p>
      <w:pPr>
        <w:pStyle w:val="Heading3"/>
      </w:pPr>
      <w:r>
        <w:t>Change Order Management Steps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Establish a Clear Change Order Procedure</w:t>
      </w:r>
    </w:p>
    <w:p>
      <w:pPr>
        <w:pStyle w:val="Compact"/>
        <w:numPr>
          <w:ilvl w:val="1"/>
          <w:numId w:val="1005"/>
        </w:numPr>
      </w:pPr>
      <w:r>
        <w:t>Define in contract</w:t>
      </w:r>
    </w:p>
    <w:p>
      <w:pPr>
        <w:pStyle w:val="Compact"/>
        <w:numPr>
          <w:ilvl w:val="1"/>
          <w:numId w:val="1005"/>
        </w:numPr>
      </w:pPr>
      <w:r>
        <w:t>Outline approval workflow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Define Scope of Change vs Contract Scope</w:t>
      </w:r>
    </w:p>
    <w:p>
      <w:pPr>
        <w:pStyle w:val="Compact"/>
        <w:numPr>
          <w:ilvl w:val="1"/>
          <w:numId w:val="1006"/>
        </w:numPr>
      </w:pPr>
      <w:r>
        <w:t>Determine if change is within existing contract or new variation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Capture All Change Requests in Writing</w:t>
      </w:r>
    </w:p>
    <w:p>
      <w:pPr>
        <w:pStyle w:val="Compact"/>
        <w:numPr>
          <w:ilvl w:val="1"/>
          <w:numId w:val="1007"/>
        </w:numPr>
      </w:pPr>
      <w:r>
        <w:t>Document request with details and supporting materials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Assess Cost and Time Impact Before Approval</w:t>
      </w:r>
    </w:p>
    <w:p>
      <w:pPr>
        <w:pStyle w:val="Compact"/>
        <w:numPr>
          <w:ilvl w:val="1"/>
          <w:numId w:val="1008"/>
        </w:numPr>
      </w:pPr>
      <w:r>
        <w:t>Use project schedules and cash flow forecasts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Require Supporting Drawings and Specifications</w:t>
      </w:r>
    </w:p>
    <w:p>
      <w:pPr>
        <w:pStyle w:val="Compact"/>
        <w:numPr>
          <w:ilvl w:val="1"/>
          <w:numId w:val="1009"/>
        </w:numPr>
      </w:pPr>
      <w:r>
        <w:t>Ensure clarity and reduce ambiguity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Maintain a Centralized Change Order Register</w:t>
      </w:r>
    </w:p>
    <w:p>
      <w:pPr>
        <w:pStyle w:val="Compact"/>
        <w:numPr>
          <w:ilvl w:val="1"/>
          <w:numId w:val="1010"/>
        </w:numPr>
      </w:pPr>
      <w:r>
        <w:t>Track all changes in one document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Link Change Orders to Updated Schedules</w:t>
      </w:r>
    </w:p>
    <w:p>
      <w:pPr>
        <w:pStyle w:val="Compact"/>
        <w:numPr>
          <w:ilvl w:val="1"/>
          <w:numId w:val="1011"/>
        </w:numPr>
      </w:pPr>
      <w:r>
        <w:t>Adjust timelines and milestone delivery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Approve Changes Before Execution</w:t>
      </w:r>
    </w:p>
    <w:p>
      <w:pPr>
        <w:pStyle w:val="Compact"/>
        <w:numPr>
          <w:ilvl w:val="1"/>
          <w:numId w:val="1012"/>
        </w:numPr>
      </w:pPr>
      <w:r>
        <w:t>Avoid on-site delays and confusion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Assign Clear Responsibility for Initiating and Approving Changes</w:t>
      </w:r>
    </w:p>
    <w:p>
      <w:pPr>
        <w:pStyle w:val="Compact"/>
        <w:numPr>
          <w:ilvl w:val="1"/>
          <w:numId w:val="1013"/>
        </w:numPr>
      </w:pPr>
      <w:r>
        <w:t>Include project manager and relevant department heads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Track Cumulative Impact of Multiple Changes</w:t>
      </w:r>
    </w:p>
    <w:p>
      <w:pPr>
        <w:pStyle w:val="Compact"/>
        <w:numPr>
          <w:ilvl w:val="1"/>
          <w:numId w:val="1014"/>
        </w:numPr>
      </w:pPr>
      <w:r>
        <w:t>Monitor overall effect on budget and schedule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Update Budgets and Cash Flow Forecasts Immediately</w:t>
      </w:r>
    </w:p>
    <w:p>
      <w:pPr>
        <w:pStyle w:val="Compact"/>
        <w:numPr>
          <w:ilvl w:val="1"/>
          <w:numId w:val="1015"/>
        </w:numPr>
      </w:pPr>
      <w:r>
        <w:t>Reflect financial impact in project plan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Communicate Approved Changes to All Site Teams</w:t>
      </w:r>
    </w:p>
    <w:p>
      <w:pPr>
        <w:pStyle w:val="Compact"/>
        <w:numPr>
          <w:ilvl w:val="1"/>
          <w:numId w:val="1016"/>
        </w:numPr>
      </w:pPr>
      <w:r>
        <w:t>Ensure everyone is aware of modifications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Integrate Quality and Safety Checks into Change Execution</w:t>
      </w:r>
    </w:p>
    <w:p>
      <w:pPr>
        <w:pStyle w:val="Compact"/>
        <w:numPr>
          <w:ilvl w:val="1"/>
          <w:numId w:val="1017"/>
        </w:numPr>
      </w:pPr>
      <w:r>
        <w:t>QA/QC inspections and safety protocols followed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Use Standardized Change Order Templates</w:t>
      </w:r>
    </w:p>
    <w:p>
      <w:pPr>
        <w:pStyle w:val="Compact"/>
        <w:numPr>
          <w:ilvl w:val="1"/>
          <w:numId w:val="1018"/>
        </w:numPr>
      </w:pPr>
      <w:r>
        <w:t>Maintain consistency and compliance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Conduct Regular Change Order Reviews</w:t>
      </w:r>
    </w:p>
    <w:p>
      <w:pPr>
        <w:pStyle w:val="Compact"/>
        <w:numPr>
          <w:ilvl w:val="1"/>
          <w:numId w:val="1019"/>
        </w:numPr>
      </w:pPr>
      <w:r>
        <w:t>Evaluate ongoing changes for efficiency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Resolve Disputed Changes Early Through Documentation</w:t>
      </w:r>
    </w:p>
    <w:p>
      <w:pPr>
        <w:pStyle w:val="Compact"/>
        <w:numPr>
          <w:ilvl w:val="1"/>
          <w:numId w:val="1020"/>
        </w:numPr>
      </w:pPr>
      <w:r>
        <w:t>Keep signed forms, cost records, and correspondence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Align Change Management with Procurement and Material Orders</w:t>
      </w:r>
    </w:p>
    <w:p>
      <w:pPr>
        <w:pStyle w:val="Compact"/>
        <w:numPr>
          <w:ilvl w:val="1"/>
          <w:numId w:val="1021"/>
        </w:numPr>
      </w:pPr>
      <w:r>
        <w:t>Update procurement plans and avoid material delays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Include Regulatory and Approval Timelines in Change Evaluation</w:t>
      </w:r>
    </w:p>
    <w:p>
      <w:pPr>
        <w:pStyle w:val="Compact"/>
        <w:numPr>
          <w:ilvl w:val="1"/>
          <w:numId w:val="1022"/>
        </w:numPr>
      </w:pPr>
      <w:r>
        <w:t>Track permits and approvals from NURPC, LASBCA, etc.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Close Out Change Orders Formally After Execution</w:t>
      </w:r>
    </w:p>
    <w:p>
      <w:pPr>
        <w:pStyle w:val="Compact"/>
        <w:numPr>
          <w:ilvl w:val="1"/>
          <w:numId w:val="1023"/>
        </w:numPr>
      </w:pPr>
      <w:r>
        <w:t>Update schedules, budgets, and obtain final approvals</w:t>
      </w:r>
    </w:p>
    <w:p>
      <w:pPr>
        <w:pStyle w:val="Compact"/>
        <w:numPr>
          <w:ilvl w:val="0"/>
          <w:numId w:val="1004"/>
        </w:numPr>
      </w:pPr>
      <w:r>
        <w:rPr>
          <w:bCs/>
          <w:b/>
        </w:rPr>
        <w:t>Review Lessons Learned to Reduce Future Variations</w:t>
      </w:r>
    </w:p>
    <w:p>
      <w:pPr>
        <w:pStyle w:val="Compact"/>
        <w:numPr>
          <w:ilvl w:val="1"/>
          <w:numId w:val="1024"/>
        </w:numPr>
      </w:pPr>
      <w:r>
        <w:t>Analyze recurring issues for continuous improvement</w:t>
      </w:r>
    </w:p>
    <w:p>
      <w:r>
        <w:rPr>
          <w:noProof/>
        </w:rPr>
        <w:pict>
          <v:rect style="width:0;height:1.5pt" o:hralign="center" o:hrstd="t" o:hr="t"/>
        </w:pict>
      </w:r>
    </w:p>
    <w:bookmarkEnd w:id="24"/>
    <w:bookmarkStart w:id="25" w:name="sign-offs"/>
    <w:p>
      <w:pPr>
        <w:pStyle w:val="Heading3"/>
      </w:pPr>
      <w:r>
        <w:t>Sign-Offs</w:t>
      </w:r>
    </w:p>
    <w:p>
      <w:pPr>
        <w:pStyle w:val="Compact"/>
        <w:numPr>
          <w:ilvl w:val="0"/>
          <w:numId w:val="1025"/>
        </w:numPr>
      </w:pPr>
      <w:r>
        <w:t>Project Manager:</w:t>
      </w:r>
    </w:p>
    <w:p>
      <w:pPr>
        <w:pStyle w:val="Compact"/>
        <w:numPr>
          <w:ilvl w:val="0"/>
          <w:numId w:val="1025"/>
        </w:numPr>
      </w:pPr>
      <w:r>
        <w:t>QA/QC Officer:</w:t>
      </w:r>
    </w:p>
    <w:p>
      <w:pPr>
        <w:pStyle w:val="Compact"/>
        <w:numPr>
          <w:ilvl w:val="0"/>
          <w:numId w:val="1025"/>
        </w:numPr>
      </w:pPr>
      <w:r>
        <w:t>Client/Representative:</w:t>
      </w:r>
    </w:p>
    <w:p>
      <w:pPr>
        <w:pStyle w:val="Compact"/>
        <w:numPr>
          <w:ilvl w:val="0"/>
          <w:numId w:val="1025"/>
        </w:numPr>
      </w:pPr>
      <w:r>
        <w:t>Date:</w:t>
      </w:r>
    </w:p>
    <w:p>
      <w:r>
        <w:rPr>
          <w:noProof/>
        </w:rPr>
        <w:pict>
          <v:rect style="width:0;height:1.5pt" o:hralign="center" o:hrstd="t" o:hr="t"/>
        </w:pict>
      </w:r>
    </w:p>
    <w:bookmarkEnd w:id="25"/>
    <w:bookmarkStart w:id="26" w:name="notes"/>
    <w:p>
      <w:pPr>
        <w:pStyle w:val="Heading3"/>
      </w:pPr>
      <w:r>
        <w:t>Notes</w:t>
      </w:r>
    </w:p>
    <w:p>
      <w:pPr>
        <w:pStyle w:val="Compact"/>
        <w:numPr>
          <w:ilvl w:val="0"/>
          <w:numId w:val="1026"/>
        </w:numPr>
      </w:pPr>
      <w:r>
        <w:t>All change orders should comply with Nigerian construction standards, QA/QC protocols, and the Public Procurement Act 2007 where applicable.</w:t>
      </w:r>
    </w:p>
    <w:p>
      <w:pPr>
        <w:pStyle w:val="Compact"/>
        <w:numPr>
          <w:ilvl w:val="0"/>
          <w:numId w:val="1026"/>
        </w:numPr>
      </w:pPr>
      <w:r>
        <w:t>Attach all supporting documents, drawings, and approvals to maintain audit trail.</w:t>
      </w:r>
    </w:p>
    <w:p>
      <w:r>
        <w:rPr>
          <w:noProof/>
        </w:rPr>
        <w:pict>
          <v:rect style="width:0;height:1.5pt" o:hralign="center" o:hrstd="t" o:hr="t"/>
        </w:pict>
      </w:r>
    </w:p>
    <w:bookmarkEnd w:id="26"/>
    <w:bookmarkEnd w:id="2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/>
  <w:font w:name="Wingdings"/>
  <w:font w:name="Consolas"/>
  <w:font w:name="Arial"/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990">
    <w:multiLevelType w:val="hybridMultilevel"/>
    <w:nsid w:val="0000A990"/>
    <w:lvl w:ilvl="0">
      <w:numFmt w:val="bullet"/>
      <w:lvlText w:val=" "/>
      <w:start w:val="0"/>
      <w:pPr>
        <w:ind w:left="720"/>
        <w:ind w:hanging="360"/>
      </w:pPr>
      <w:lvlJc w:val="left"/>
    </w:lvl>
    <w:lvl w:ilvl="1">
      <w:numFmt w:val="bullet"/>
      <w:lvlText w:val=" "/>
      <w:start w:val="0"/>
      <w:pPr>
        <w:ind w:left="1440"/>
        <w:ind w:hanging="360"/>
      </w:pPr>
      <w:lvlJc w:val="left"/>
    </w:lvl>
    <w:lvl w:ilvl="2">
      <w:numFmt w:val="bullet"/>
      <w:lvlText w:val=" "/>
      <w:start w:val="0"/>
      <w:pPr>
        <w:ind w:left="2160"/>
        <w:ind w:hanging="360"/>
      </w:pPr>
      <w:lvlJc w:val="left"/>
    </w:lvl>
    <w:lvl w:ilvl="3">
      <w:numFmt w:val="bullet"/>
      <w:lvlText w:val=" "/>
      <w:start w:val="0"/>
      <w:pPr>
        <w:ind w:left="2880"/>
        <w:ind w:hanging="360"/>
      </w:pPr>
      <w:lvlJc w:val="left"/>
    </w:lvl>
    <w:lvl w:ilvl="4">
      <w:numFmt w:val="bullet"/>
      <w:lvlText w:val=" "/>
      <w:start w:val="0"/>
      <w:pPr>
        <w:ind w:left="3600"/>
        <w:ind w:hanging="360"/>
      </w:pPr>
      <w:lvlJc w:val="left"/>
    </w:lvl>
    <w:lvl w:ilvl="5">
      <w:numFmt w:val="bullet"/>
      <w:lvlText w:val=" "/>
      <w:start w:val="0"/>
      <w:pPr>
        <w:ind w:left="4320"/>
        <w:ind w:hanging="360"/>
      </w:pPr>
      <w:lvlJc w:val="left"/>
    </w:lvl>
    <w:lvl w:ilvl="6">
      <w:numFmt w:val="bullet"/>
      <w:lvlText w:val=" "/>
      <w:start w:val="0"/>
      <w:pPr>
        <w:ind w:left="5040"/>
        <w:ind w:hanging="360"/>
      </w:pPr>
      <w:lvlJc w:val="left"/>
    </w:lvl>
    <w:lvl w:ilvl="7">
      <w:numFmt w:val="bullet"/>
      <w:lvlText w:val=" "/>
      <w:start w:val="0"/>
      <w:pPr>
        <w:ind w:left="5760"/>
        <w:ind w:hanging="360"/>
      </w:pPr>
      <w:lvlJc w:val="left"/>
    </w:lvl>
    <w:lvl w:ilvl="8">
      <w:numFmt w:val="bullet"/>
      <w:lvlText w:val=" "/>
      <w:start w:val="0"/>
      <w:pPr>
        <w:ind w:left="6480"/>
        <w:ind w:hanging="360"/>
      </w:pPr>
      <w:lvlJc w:val="left"/>
    </w:lvl>
  </w:abstractNum>
  <w:abstractNum w:abstractNumId="991">
    <w:multiLevelType w:val="hybridMultilevel"/>
    <w:nsid w:val="0000A991"/>
    <w:lvl w:ilvl="0">
      <w:numFmt w:val="bullet"/>
      <w:lvlText w:val=""/>
      <w:start w:val="0"/>
      <w:rPr>
        <w:rFonts w:ascii="Symbol" w:cs="Symbol" w:hAnsi="Symbol" w:hint="default"/>
      </w:rPr>
      <w:pPr>
        <w:ind w:left="720"/>
        <w:ind w:hanging="360"/>
      </w:pPr>
      <w:lvlJc w:val="left"/>
    </w:lvl>
    <w:lvl w:ilvl="1">
      <w:numFmt w:val="bullet"/>
      <w:lvlText w:val="o"/>
      <w:start w:val="0"/>
      <w:rPr>
        <w:rFonts w:ascii="Courier New" w:cs="Courier New" w:hAnsi="Courier New" w:hint="default"/>
      </w:rPr>
      <w:pPr>
        <w:ind w:left="1440"/>
        <w:ind w:hanging="360"/>
      </w:pPr>
      <w:lvlJc w:val="left"/>
    </w:lvl>
    <w:lvl w:ilvl="2">
      <w:numFmt w:val="bullet"/>
      <w:lvlText w:val=""/>
      <w:start w:val="0"/>
      <w:rPr>
        <w:rFonts w:ascii="Wingdings" w:cs="Wingdings" w:hAnsi="Wingdings" w:hint="default"/>
      </w:rPr>
      <w:pPr>
        <w:ind w:left="2160"/>
        <w:ind w:hanging="360"/>
      </w:pPr>
      <w:lvlJc w:val="left"/>
    </w:lvl>
    <w:lvl w:ilvl="3">
      <w:numFmt w:val="bullet"/>
      <w:lvlText w:val=""/>
      <w:start w:val="0"/>
      <w:rPr>
        <w:rFonts w:ascii="Symbol" w:cs="Symbol" w:hAnsi="Symbol" w:hint="default"/>
      </w:rPr>
      <w:pPr>
        <w:ind w:left="2880"/>
        <w:ind w:hanging="360"/>
      </w:pPr>
      <w:lvlJc w:val="left"/>
    </w:lvl>
    <w:lvl w:ilvl="4">
      <w:numFmt w:val="bullet"/>
      <w:lvlText w:val="o"/>
      <w:start w:val="0"/>
      <w:rPr>
        <w:rFonts w:ascii="Courier New" w:cs="Courier New" w:hAnsi="Courier New" w:hint="default"/>
      </w:rPr>
      <w:pPr>
        <w:ind w:left="3600"/>
        <w:ind w:hanging="360"/>
      </w:pPr>
      <w:lvlJc w:val="left"/>
    </w:lvl>
    <w:lvl w:ilvl="5">
      <w:numFmt w:val="bullet"/>
      <w:lvlText w:val=""/>
      <w:start w:val="0"/>
      <w:rPr>
        <w:rFonts w:ascii="Wingdings" w:cs="Wingdings" w:hAnsi="Wingdings" w:hint="default"/>
      </w:rPr>
      <w:pPr>
        <w:ind w:left="4320"/>
        <w:ind w:hanging="360"/>
      </w:pPr>
      <w:lvlJc w:val="left"/>
    </w:lvl>
    <w:lvl w:ilvl="6">
      <w:numFmt w:val="bullet"/>
      <w:lvlText w:val=""/>
      <w:start w:val="0"/>
      <w:rPr>
        <w:rFonts w:ascii="Symbol" w:cs="Symbol" w:hAnsi="Symbol" w:hint="default"/>
      </w:rPr>
      <w:pPr>
        <w:ind w:left="5040"/>
        <w:ind w:hanging="360"/>
      </w:pPr>
      <w:lvlJc w:val="left"/>
    </w:lvl>
    <w:lvl w:ilvl="7">
      <w:numFmt w:val="bullet"/>
      <w:lvlText w:val="o"/>
      <w:start w:val="0"/>
      <w:rPr>
        <w:rFonts w:ascii="Courier New" w:cs="Courier New" w:hAnsi="Courier New" w:hint="default"/>
      </w:rPr>
      <w:pPr>
        <w:ind w:left="5760"/>
        <w:ind w:hanging="360"/>
      </w:pPr>
      <w:lvlJc w:val="left"/>
    </w:lvl>
    <w:lvl w:ilvl="8">
      <w:numFmt w:val="bullet"/>
      <w:lvlText w:val=""/>
      <w:start w:val="0"/>
      <w:rPr>
        <w:rFonts w:ascii="Wingdings" w:cs="Wingdings" w:hAnsi="Wingdings" w:hint="default"/>
      </w:rPr>
      <w:pPr>
        <w:ind w:left="6480"/>
        <w:ind w:hanging="360"/>
      </w:pPr>
      <w:lvlJc w:val="left"/>
    </w:lvl>
  </w:abstractNum>
  <w:abstractNum w:abstractNumId="99411">
    <w:multiLevelType w:val="hybridMultilevel"/>
    <w:nsid w:val="00A99411"/>
    <w:lvl w:ilvl="0">
      <w:numFmt w:val="decimal"/>
      <w:lvlText w:val="%1."/>
      <w:start w:val="1"/>
      <w:pPr>
        <w:ind w:left="720"/>
        <w:ind w:hanging="360"/>
      </w:pPr>
      <w:lvlJc w:val="left"/>
    </w:lvl>
    <w:lvl w:ilvl="1">
      <w:numFmt w:val="decimal"/>
      <w:lvlText w:val="%2."/>
      <w:start w:val="1"/>
      <w:pPr>
        <w:ind w:left="1440"/>
        <w:ind w:hanging="360"/>
      </w:pPr>
      <w:lvlJc w:val="left"/>
    </w:lvl>
    <w:lvl w:ilvl="2">
      <w:numFmt w:val="decimal"/>
      <w:lvlText w:val="%3."/>
      <w:start w:val="1"/>
      <w:pPr>
        <w:ind w:left="2160"/>
        <w:ind w:hanging="360"/>
      </w:pPr>
      <w:lvlJc w:val="left"/>
    </w:lvl>
    <w:lvl w:ilvl="3">
      <w:numFmt w:val="decimal"/>
      <w:lvlText w:val="%4."/>
      <w:start w:val="1"/>
      <w:pPr>
        <w:ind w:left="2880"/>
        <w:ind w:hanging="360"/>
      </w:pPr>
      <w:lvlJc w:val="left"/>
    </w:lvl>
    <w:lvl w:ilvl="4">
      <w:numFmt w:val="decimal"/>
      <w:lvlText w:val="%5."/>
      <w:start w:val="1"/>
      <w:pPr>
        <w:ind w:left="3600"/>
        <w:ind w:hanging="360"/>
      </w:pPr>
      <w:lvlJc w:val="left"/>
    </w:lvl>
    <w:lvl w:ilvl="5">
      <w:numFmt w:val="decimal"/>
      <w:lvlText w:val="%6."/>
      <w:start w:val="1"/>
      <w:pPr>
        <w:ind w:left="4320"/>
        <w:ind w:hanging="360"/>
      </w:pPr>
      <w:lvlJc w:val="left"/>
    </w:lvl>
    <w:lvl w:ilvl="6">
      <w:numFmt w:val="decimal"/>
      <w:lvlText w:val="%7."/>
      <w:start w:val="1"/>
      <w:pPr>
        <w:ind w:left="5040"/>
        <w:ind w:hanging="360"/>
      </w:pPr>
      <w:lvlJc w:val="left"/>
    </w:lvl>
    <w:lvl w:ilvl="7">
      <w:numFmt w:val="decimal"/>
      <w:lvlText w:val="%8."/>
      <w:start w:val="1"/>
      <w:pPr>
        <w:ind w:left="5760"/>
        <w:ind w:hanging="360"/>
      </w:pPr>
      <w:lvlJc w:val="left"/>
    </w:lvl>
    <w:lvl w:ilvl="8">
      <w:numFmt w:val="decimal"/>
      <w:lvlText w:val="%9."/>
      <w:start w:val="1"/>
      <w:pPr>
        <w:ind w:left="6480"/>
        <w:ind w:hanging="360"/>
      </w:pPr>
      <w:lvlJc w:val="left"/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1"/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1"/>
  </w:num>
  <w:num w:numId="1021">
    <w:abstractNumId w:val="991"/>
  </w:num>
  <w:num w:numId="1022">
    <w:abstractNumId w:val="991"/>
  </w:num>
  <w:num w:numId="1023">
    <w:abstractNumId w:val="991"/>
  </w:num>
  <w:num w:numId="1024">
    <w:abstractNumId w:val="991"/>
  </w:num>
  <w:num w:numId="1025">
    <w:abstractNumId w:val="991"/>
  </w:num>
  <w:num w:numId="1026">
    <w:abstractNumId w:val="991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rsids>
    <w:rsidRoot val=""/>
  </w:rsids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openxmlformats.org/officeDocument/2006/relationships/footnotes" Target="footnotes.xml"/><Relationship Id="rId8" Type="http://schemas.openxmlformats.org/officeDocument/2006/relationships/comments" Target="comments.xml"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2026-02-19T13:25:45Z</dcterms:created>
  <dcterms:modified xsi:type="dcterms:W3CDTF">2026-02-19T13:25:45Z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